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6AE" w:rsidRPr="008276AE" w:rsidRDefault="008276AE" w:rsidP="00827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</w:pPr>
      <w:r w:rsidRPr="008276AE">
        <w:rPr>
          <w:rFonts w:ascii="Batang" w:eastAsia="Batang" w:hAnsi="Batang" w:cs="Times New Roman"/>
          <w:b/>
          <w:bCs/>
          <w:color w:val="0000FF"/>
          <w:sz w:val="48"/>
          <w:szCs w:val="48"/>
          <w:lang w:eastAsia="nb-NO"/>
        </w:rPr>
        <w:t>Dansk-norska artilleriets uniformer 1684-1730</w:t>
      </w:r>
    </w:p>
    <w:p w:rsidR="008276AE" w:rsidRPr="008276AE" w:rsidRDefault="008276AE" w:rsidP="008276AE">
      <w:pPr>
        <w:spacing w:before="100" w:beforeAutospacing="1" w:after="100" w:afterAutospacing="1" w:line="240" w:lineRule="auto"/>
        <w:ind w:left="600" w:right="600"/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</w:pPr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Danmark-Norges artilleri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fick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sin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första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fasta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organisation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1684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och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blev då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indelat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i tre kårer (Danmark, Holstein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och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Norge) som fram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till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och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med 1709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hade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individuella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uniformer. Fast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även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efter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detta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år kunde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deras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uniformer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skilja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sig åt i mindre detaljer,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till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viss del beroende på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hur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bra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tillgången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på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tyg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var. En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intressant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skillnad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, som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dock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bara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återfinns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i en serie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planscher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av Zimmer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från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1730,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är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antalet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knappar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på den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dubbelknäppta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rocken: danska kåren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hade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2x10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knappar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,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holsteinska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kåren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hade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2x11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och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norska kåren 2x9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knappar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(på de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nedanstående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bilderna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har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dock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samtliga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kårer 2x10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knappar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).</w:t>
      </w:r>
    </w:p>
    <w:p w:rsidR="008276AE" w:rsidRPr="008276AE" w:rsidRDefault="008276AE" w:rsidP="008276AE">
      <w:pPr>
        <w:spacing w:before="100" w:beforeAutospacing="1" w:after="100" w:afterAutospacing="1" w:line="240" w:lineRule="auto"/>
        <w:ind w:left="600" w:right="600"/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</w:pPr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Artilleriets uniformer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hade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samma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mönster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som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för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infanteriet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och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för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allmän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information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om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deras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utseende, samt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vilka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källor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jag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har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använt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mig av,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hänvisar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jag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till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sidan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om det </w:t>
      </w:r>
      <w:hyperlink r:id="rId4" w:history="1">
        <w:r w:rsidRPr="008276AE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nb-NO"/>
          </w:rPr>
          <w:t>danska infanteriet</w:t>
        </w:r>
      </w:hyperlink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.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För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denna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sida har jag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emellertid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även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använt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mig av Karsten Skjold Petersens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artikel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"Artilleriets uniformer </w:t>
      </w:r>
      <w:proofErr w:type="spellStart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>indtil</w:t>
      </w:r>
      <w:proofErr w:type="spellEnd"/>
      <w:r w:rsidRPr="008276AE">
        <w:rPr>
          <w:rFonts w:ascii="Times New Roman" w:eastAsia="Times New Roman" w:hAnsi="Times New Roman" w:cs="Times New Roman"/>
          <w:color w:val="0000FF"/>
          <w:sz w:val="27"/>
          <w:szCs w:val="27"/>
          <w:lang w:eastAsia="nb-NO"/>
        </w:rPr>
        <w:t xml:space="preserve"> 1815".</w:t>
      </w:r>
    </w:p>
    <w:tbl>
      <w:tblPr>
        <w:tblW w:w="9600" w:type="dxa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00"/>
      </w:tblGrid>
      <w:tr w:rsidR="008276AE" w:rsidRPr="008276AE" w:rsidTr="008276AE">
        <w:trPr>
          <w:jc w:val="center"/>
        </w:trPr>
        <w:tc>
          <w:tcPr>
            <w:tcW w:w="0" w:type="auto"/>
            <w:tcBorders>
              <w:top w:val="single" w:sz="6" w:space="0" w:color="0000FF"/>
              <w:left w:val="nil"/>
              <w:bottom w:val="single" w:sz="6" w:space="0" w:color="0000FF"/>
              <w:right w:val="nil"/>
            </w:tcBorders>
            <w:vAlign w:val="center"/>
            <w:hideMark/>
          </w:tcPr>
          <w:p w:rsidR="008276AE" w:rsidRPr="008276AE" w:rsidRDefault="008276AE" w:rsidP="00827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8276AE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nb-NO"/>
              </w:rPr>
              <w:t>Färgen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nb-NO"/>
              </w:rPr>
              <w:t xml:space="preserve"> på kanonlavetterna var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nb-NO"/>
              </w:rPr>
              <w:t>åtminstone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nb-NO"/>
              </w:rPr>
              <w:t xml:space="preserve"> i Norge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nb-NO"/>
              </w:rPr>
              <w:t>röd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nb-NO"/>
              </w:rPr>
              <w:t xml:space="preserve">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nb-NO"/>
              </w:rPr>
              <w:t>gulmålade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nb-NO"/>
              </w:rPr>
              <w:t>metallbeslag.</w:t>
            </w:r>
            <w:bookmarkStart w:id="0" w:name="_GoBack"/>
            <w:bookmarkEnd w:id="0"/>
            <w:r w:rsidRPr="008276AE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nb-NO"/>
              </w:rPr>
              <w:drawing>
                <wp:anchor distT="0" distB="0" distL="0" distR="0" simplePos="0" relativeHeight="251659264" behindDoc="0" locked="0" layoutInCell="1" allowOverlap="0" wp14:anchorId="7EA0E000" wp14:editId="272B149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3714750"/>
                  <wp:effectExtent l="0" t="0" r="0" b="0"/>
                  <wp:wrapSquare wrapText="bothSides"/>
                  <wp:docPr id="1" name="Bilde 1" descr="http://www.tacitus.nu/karoliner/armeer/danmark/images/artilleri/Dan-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acitus.nu/karoliner/armeer/danmark/images/artilleri/Dan-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76AE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nb-NO"/>
              </w:rPr>
              <w:drawing>
                <wp:anchor distT="0" distB="0" distL="0" distR="0" simplePos="0" relativeHeight="251660288" behindDoc="0" locked="0" layoutInCell="1" allowOverlap="0" wp14:anchorId="7CBE4E84" wp14:editId="09F3754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52550" cy="3714750"/>
                  <wp:effectExtent l="0" t="0" r="0" b="0"/>
                  <wp:wrapSquare wrapText="bothSides"/>
                  <wp:docPr id="2" name="Bilde 2" descr="http://www.tacitus.nu/karoliner/armeer/danmark/images/artilleri/Dan-art-17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acitus.nu/karoliner/armeer/danmark/images/artilleri/Dan-art-17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76AE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nb-NO"/>
              </w:rPr>
              <w:drawing>
                <wp:anchor distT="0" distB="0" distL="0" distR="0" simplePos="0" relativeHeight="251661312" behindDoc="0" locked="0" layoutInCell="1" allowOverlap="0" wp14:anchorId="2BD71B29" wp14:editId="76F931E6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3714750"/>
                  <wp:effectExtent l="0" t="0" r="0" b="0"/>
                  <wp:wrapSquare wrapText="bothSides"/>
                  <wp:docPr id="3" name="Bilde 3" descr="http://www.tacitus.nu/karoliner/armeer/danmark/images/artilleri/Dan-art-17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acitus.nu/karoliner/armeer/danmark/images/artilleri/Dan-art-17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1" w:name="Danmark"/>
            <w:r w:rsidRPr="008276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>Danmark</w:t>
            </w:r>
            <w:bookmarkEnd w:id="1"/>
            <w:r w:rsidRPr="008276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>s</w:t>
            </w:r>
            <w:proofErr w:type="spellEnd"/>
            <w:r w:rsidRPr="008276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 xml:space="preserve"> artilleri</w:t>
            </w:r>
          </w:p>
          <w:p w:rsidR="008276AE" w:rsidRPr="008276AE" w:rsidRDefault="008276AE" w:rsidP="00827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lastRenderedPageBreak/>
              <w:t xml:space="preserve">Karsten Skjold Petersen har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redovisat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följande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uppgifter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:</w:t>
            </w:r>
          </w:p>
          <w:p w:rsidR="008276AE" w:rsidRPr="008276AE" w:rsidRDefault="008276AE" w:rsidP="00827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7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1684 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Violetta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rockar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gröna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uppslag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,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byxor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,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strumpor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grönt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foder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827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br/>
              <w:t>1700-1709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Okänd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uniform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br/>
            </w:r>
            <w:r w:rsidRPr="00827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1709-1711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 Blå rock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röda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uppslag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foder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eller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röd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syrtut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med blå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uppslag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foder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 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br/>
            </w:r>
            <w:r w:rsidRPr="00827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1711-1716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Röd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rock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violetta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uppslag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gula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knappar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samt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mörkblå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benkläder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br/>
            </w:r>
            <w:r w:rsidRPr="00827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1716-1742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Röd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rock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mörkblå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uppslag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foder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samt gula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knappar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,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mörkblå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väst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röda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benkläder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.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Knapphålen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var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åtminstone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från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1728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mörkblå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</w:p>
          <w:p w:rsidR="008276AE" w:rsidRPr="008276AE" w:rsidRDefault="008276AE" w:rsidP="00827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Enligt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Lars-Eric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Höglund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hade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det danska artilleriet 1683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violetta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rockar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uppslag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foder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i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rött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. År 1700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hade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de blå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rockar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rött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. Torstein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Snorrason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nämner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att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förordningen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från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1691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stadgade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violetta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rockar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grönt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foder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</w:p>
          <w:p w:rsidR="008276AE" w:rsidRPr="008276AE" w:rsidRDefault="008276AE" w:rsidP="00827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1709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beslutades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det att alla artillerikårer skulle ha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samma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uniform.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Eftersom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det norska artilleriet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hade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gula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snören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på sina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hattar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1720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är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det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sannolikt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att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även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det danska artilleriet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hade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gula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snören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vid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denna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tid. Det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är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dessutom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mycket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troligt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att de bar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dessa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redan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1711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eftersom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det var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vanligt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att matcha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färgen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på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hattsnörena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med den på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knapparna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.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Jag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har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dock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valt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att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illustrera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alla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hattar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med vita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snören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när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det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inte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finns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några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konkreta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belägg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på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vilken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färg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de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hade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</w:p>
          <w:p w:rsidR="008276AE" w:rsidRPr="008276AE" w:rsidRDefault="008276AE" w:rsidP="00827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1711 var det meningen att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även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benkläderna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skulle vara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violetta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, men de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blev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blå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eftersom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det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råkade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finnas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stora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kvantiteter blått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kläde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tillgängligt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</w:p>
        </w:tc>
      </w:tr>
      <w:tr w:rsidR="008276AE" w:rsidRPr="008276AE" w:rsidTr="008276AE">
        <w:trPr>
          <w:jc w:val="center"/>
        </w:trPr>
        <w:tc>
          <w:tcPr>
            <w:tcW w:w="0" w:type="auto"/>
            <w:tcBorders>
              <w:top w:val="single" w:sz="6" w:space="0" w:color="0000FF"/>
              <w:left w:val="nil"/>
              <w:bottom w:val="single" w:sz="6" w:space="0" w:color="0000FF"/>
              <w:right w:val="nil"/>
            </w:tcBorders>
            <w:vAlign w:val="center"/>
            <w:hideMark/>
          </w:tcPr>
          <w:p w:rsidR="008276AE" w:rsidRPr="008276AE" w:rsidRDefault="008276AE" w:rsidP="00827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76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lastRenderedPageBreak/>
              <w:drawing>
                <wp:anchor distT="0" distB="0" distL="0" distR="0" simplePos="0" relativeHeight="251662336" behindDoc="0" locked="0" layoutInCell="1" allowOverlap="0" wp14:anchorId="7639BB73" wp14:editId="17E3BFF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352550" cy="3714750"/>
                  <wp:effectExtent l="0" t="0" r="0" b="0"/>
                  <wp:wrapSquare wrapText="bothSides"/>
                  <wp:docPr id="4" name="Bilde 4" descr="http://www.tacitus.nu/karoliner/armeer/danmark/images/artilleri/Holst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acitus.nu/karoliner/armeer/danmark/images/artilleri/Holste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76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drawing>
                <wp:anchor distT="0" distB="0" distL="0" distR="0" simplePos="0" relativeHeight="251663360" behindDoc="0" locked="0" layoutInCell="1" allowOverlap="0" wp14:anchorId="1FD91687" wp14:editId="3CFEE76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3714750"/>
                  <wp:effectExtent l="0" t="0" r="0" b="0"/>
                  <wp:wrapSquare wrapText="bothSides"/>
                  <wp:docPr id="5" name="Bilde 5" descr="http://www.tacitus.nu/karoliner/armeer/danmark/images/artilleri/Dan-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tacitus.nu/karoliner/armeer/danmark/images/artilleri/Dan-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76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drawing>
                <wp:anchor distT="0" distB="0" distL="0" distR="0" simplePos="0" relativeHeight="251664384" behindDoc="0" locked="0" layoutInCell="1" allowOverlap="0" wp14:anchorId="6641F44F" wp14:editId="480F50FA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057400" cy="3333750"/>
                  <wp:effectExtent l="0" t="0" r="0" b="0"/>
                  <wp:wrapSquare wrapText="bothSides"/>
                  <wp:docPr id="6" name="Bilde 6" descr="http://www.tacitus.nu/karoliner/armeer/danmark/images/danskt%20artilleri1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acitus.nu/karoliner/armeer/danmark/images/danskt%20artilleri1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76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 xml:space="preserve">Artilleriet </w:t>
            </w:r>
            <w:proofErr w:type="spellStart"/>
            <w:r w:rsidRPr="008276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>i</w:t>
            </w:r>
            <w:bookmarkStart w:id="2" w:name="Holstein"/>
            <w:r w:rsidRPr="008276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>Holstein</w:t>
            </w:r>
            <w:bookmarkEnd w:id="2"/>
            <w:proofErr w:type="spellEnd"/>
          </w:p>
          <w:p w:rsidR="008276AE" w:rsidRPr="008276AE" w:rsidRDefault="008276AE" w:rsidP="00827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Karsten Skjold Petersen har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redovisat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följande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uppgifter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:</w:t>
            </w:r>
          </w:p>
          <w:p w:rsidR="008276AE" w:rsidRPr="008276AE" w:rsidRDefault="008276AE" w:rsidP="00827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7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1684 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Röda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rockar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gröna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uppslag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,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byxor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,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strumpor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grönt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foder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827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br/>
              <w:t>1701 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Blå rock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röda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uppslag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strumpor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samt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röd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regnrock med blå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uppslag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br/>
            </w:r>
            <w:r w:rsidRPr="00827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1709 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Beslut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togs om att de skulle ha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samma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uniform som artilleriet i Danmark.</w:t>
            </w:r>
          </w:p>
          <w:p w:rsidR="008276AE" w:rsidRPr="008276AE" w:rsidRDefault="008276AE" w:rsidP="00827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Höglund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anger att det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Holsteinska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artilleriet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hade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röda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rockar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gröna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uppslag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grönt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foder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.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Detta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överensstämmer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uniformsförordningen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från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1691 som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Snorrason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har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redovisat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</w:p>
          <w:p w:rsidR="008276AE" w:rsidRPr="008276AE" w:rsidRDefault="008276AE" w:rsidP="00827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Teckningen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till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höger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är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gjord av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Worgewitz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1728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föreställer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en dansk artillerist.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Notera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att hatten har gula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snören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</w:p>
        </w:tc>
      </w:tr>
      <w:tr w:rsidR="008276AE" w:rsidRPr="008276AE" w:rsidTr="008276AE">
        <w:trPr>
          <w:jc w:val="center"/>
        </w:trPr>
        <w:tc>
          <w:tcPr>
            <w:tcW w:w="0" w:type="auto"/>
            <w:tcBorders>
              <w:top w:val="single" w:sz="6" w:space="0" w:color="0000FF"/>
              <w:left w:val="nil"/>
              <w:bottom w:val="single" w:sz="6" w:space="0" w:color="0000FF"/>
              <w:right w:val="nil"/>
            </w:tcBorders>
            <w:vAlign w:val="center"/>
            <w:hideMark/>
          </w:tcPr>
          <w:p w:rsidR="008276AE" w:rsidRPr="008276AE" w:rsidRDefault="008276AE" w:rsidP="00827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76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drawing>
                <wp:anchor distT="0" distB="0" distL="0" distR="0" simplePos="0" relativeHeight="251665408" behindDoc="0" locked="0" layoutInCell="1" allowOverlap="0" wp14:anchorId="0B466E8B" wp14:editId="58C7DDF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3714750"/>
                  <wp:effectExtent l="0" t="0" r="0" b="0"/>
                  <wp:wrapSquare wrapText="bothSides"/>
                  <wp:docPr id="7" name="Bilde 7" descr="http://www.tacitus.nu/karoliner/armeer/danmark/images/artilleri/Nor-art-16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acitus.nu/karoliner/armeer/danmark/images/artilleri/Nor-art-16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76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drawing>
                <wp:anchor distT="0" distB="0" distL="0" distR="0" simplePos="0" relativeHeight="251666432" behindDoc="0" locked="0" layoutInCell="1" allowOverlap="0" wp14:anchorId="280B76EE" wp14:editId="6C453CA2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352550" cy="3714750"/>
                  <wp:effectExtent l="0" t="0" r="0" b="0"/>
                  <wp:wrapSquare wrapText="bothSides"/>
                  <wp:docPr id="8" name="Bilde 8" descr="http://www.tacitus.nu/karoliner/armeer/danmark/images/artilleri/Nor-art-17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tacitus.nu/karoliner/armeer/danmark/images/artilleri/Nor-art-17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76A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b-NO"/>
              </w:rPr>
              <w:drawing>
                <wp:anchor distT="0" distB="0" distL="0" distR="0" simplePos="0" relativeHeight="251667456" behindDoc="0" locked="0" layoutInCell="1" allowOverlap="0" wp14:anchorId="5ADE5749" wp14:editId="364A385A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905000" cy="3714750"/>
                  <wp:effectExtent l="0" t="0" r="0" b="0"/>
                  <wp:wrapSquare wrapText="bothSides"/>
                  <wp:docPr id="9" name="Bilde 9" descr="http://www.tacitus.nu/karoliner/armeer/danmark/images/artilleri/Nor-art-17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tacitus.nu/karoliner/armeer/danmark/images/artilleri/Nor-art-17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71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76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>Artilleriet i </w:t>
            </w:r>
            <w:bookmarkStart w:id="3" w:name="Norge"/>
            <w:r w:rsidRPr="008276A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b-NO"/>
              </w:rPr>
              <w:t>Norge</w:t>
            </w:r>
            <w:bookmarkEnd w:id="3"/>
          </w:p>
          <w:p w:rsidR="008276AE" w:rsidRPr="008276AE" w:rsidRDefault="008276AE" w:rsidP="00827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Daniel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Schorr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har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redovisat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följande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uppgifter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:</w:t>
            </w:r>
          </w:p>
          <w:p w:rsidR="008276AE" w:rsidRPr="008276AE" w:rsidRDefault="008276AE" w:rsidP="00827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27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1697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 Stålgrå rock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rött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foder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röda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uppslag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samt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kassock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samma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färger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. Svart hatt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vit halsduk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br/>
            </w:r>
            <w:r w:rsidRPr="00827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1710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 Stålgrå rock med blått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foder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väst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.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Skinnbyxor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karpus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br/>
            </w:r>
            <w:r w:rsidRPr="00827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1711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Röd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rock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violett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foder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violetta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byxor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br/>
            </w:r>
            <w:r w:rsidRPr="00827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1718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Trondheims artillerikompani 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hade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blå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rockar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röda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uppslag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br/>
            </w:r>
            <w:r w:rsidRPr="008276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nb-NO"/>
              </w:rPr>
              <w:t>1720</w:t>
            </w:r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 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Röd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rock med blå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uppslag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foder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samt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röda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strumpor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  <w:t>.</w:t>
            </w:r>
          </w:p>
          <w:p w:rsidR="008276AE" w:rsidRPr="008276AE" w:rsidRDefault="008276AE" w:rsidP="00827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Höglund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kompletterar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uppgifterna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från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1720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genom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att ange den blå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färgen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som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mörkblå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att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även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västen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byxorna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var i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samma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färg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. Hatten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hade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gul galon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och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rocken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mässingknappar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.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Worgewitz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avbildade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dock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det norska artilleriet 1728 med vita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knappar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</w:p>
          <w:p w:rsidR="008276AE" w:rsidRPr="008276AE" w:rsidRDefault="008276AE" w:rsidP="00827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Höglund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nämner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även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att 1685 var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uniformerna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violetta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med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gröna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uppslag</w:t>
            </w:r>
            <w:proofErr w:type="spellEnd"/>
            <w:r w:rsidRPr="008276A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</w:t>
            </w:r>
          </w:p>
        </w:tc>
      </w:tr>
    </w:tbl>
    <w:p w:rsidR="0090144A" w:rsidRDefault="008276AE"/>
    <w:sectPr w:rsidR="0090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AE"/>
    <w:rsid w:val="008276AE"/>
    <w:rsid w:val="00A50289"/>
    <w:rsid w:val="00D2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2A9C7-57F4-43B0-902F-713BD2A8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tacitus.nu/karoliner/armeer/danmark/infanteri.htm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Kildedal</dc:creator>
  <cp:keywords/>
  <dc:description/>
  <cp:lastModifiedBy>Jørn Kildedal</cp:lastModifiedBy>
  <cp:revision>1</cp:revision>
  <dcterms:created xsi:type="dcterms:W3CDTF">2014-08-05T11:29:00Z</dcterms:created>
  <dcterms:modified xsi:type="dcterms:W3CDTF">2014-08-05T11:30:00Z</dcterms:modified>
</cp:coreProperties>
</file>